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AFD6" w14:textId="7FDF2346" w:rsidR="00021573" w:rsidRDefault="0028193D">
      <w:pPr>
        <w:pStyle w:val="Pagedecouverture"/>
        <w:rPr>
          <w:noProof/>
        </w:rPr>
      </w:pPr>
      <w:bookmarkStart w:id="0" w:name="LW_BM_COVERPAGE"/>
      <w:r>
        <w:rPr>
          <w:noProof/>
        </w:rPr>
        <w:drawing>
          <wp:inline distT="0" distB="0" distL="0" distR="0" wp14:anchorId="1F486E94" wp14:editId="7001607A">
            <wp:extent cx="5724525" cy="5343525"/>
            <wp:effectExtent l="0" t="0" r="0" b="0"/>
            <wp:docPr id="1" name="obrázek 1" descr="1A6DD510-FE50-4845-9524-1F20E542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6DD510-FE50-4845-9524-1F20E54268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1A968C8" w14:textId="77777777" w:rsidR="00021573" w:rsidRDefault="00021573">
      <w:pPr>
        <w:rPr>
          <w:noProof/>
        </w:rPr>
        <w:sectPr w:rsidR="000215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26"/>
        </w:sectPr>
      </w:pPr>
    </w:p>
    <w:p w14:paraId="2B257170" w14:textId="77777777" w:rsidR="00021573" w:rsidRDefault="004554AD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lastRenderedPageBreak/>
        <w:t>Annex to the Communication on the European Green Deal</w:t>
      </w:r>
    </w:p>
    <w:p w14:paraId="567D92AE" w14:textId="77777777" w:rsidR="00021573" w:rsidRDefault="004554AD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Roadmap - Key actions</w:t>
      </w:r>
    </w:p>
    <w:p w14:paraId="2A70F182" w14:textId="77777777" w:rsidR="00021573" w:rsidRDefault="00021573">
      <w:pPr>
        <w:pStyle w:val="Text1"/>
        <w:spacing w:after="120"/>
        <w:jc w:val="center"/>
        <w:rPr>
          <w:b/>
          <w:noProof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973"/>
        <w:gridCol w:w="2069"/>
      </w:tblGrid>
      <w:tr w:rsidR="00021573" w14:paraId="330C07DA" w14:textId="77777777">
        <w:trPr>
          <w:tblHeader/>
        </w:trPr>
        <w:tc>
          <w:tcPr>
            <w:tcW w:w="3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EDC8F7" w14:textId="77777777" w:rsidR="00021573" w:rsidRDefault="004554AD">
            <w:pPr>
              <w:pStyle w:val="Text1"/>
              <w:spacing w:after="120"/>
              <w:ind w:left="55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Actions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43832C" w14:textId="77777777" w:rsidR="00021573" w:rsidRDefault="004554AD">
            <w:pPr>
              <w:pStyle w:val="Text1"/>
              <w:spacing w:after="120"/>
              <w:ind w:left="132"/>
              <w:jc w:val="center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Indicative Timetable</w:t>
            </w:r>
            <w:r>
              <w:rPr>
                <w:rStyle w:val="Znakapoznpodarou"/>
                <w:b/>
                <w:noProof/>
                <w:szCs w:val="24"/>
              </w:rPr>
              <w:footnoteReference w:id="1"/>
            </w:r>
          </w:p>
        </w:tc>
      </w:tr>
      <w:tr w:rsidR="00021573" w14:paraId="3B572D16" w14:textId="77777777">
        <w:tc>
          <w:tcPr>
            <w:tcW w:w="3856" w:type="pct"/>
            <w:shd w:val="clear" w:color="auto" w:fill="EAF1DD" w:themeFill="accent3" w:themeFillTint="33"/>
            <w:vAlign w:val="bottom"/>
          </w:tcPr>
          <w:p w14:paraId="6F95FA01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Climate ambition</w:t>
            </w:r>
          </w:p>
        </w:tc>
        <w:tc>
          <w:tcPr>
            <w:tcW w:w="1144" w:type="pct"/>
            <w:shd w:val="clear" w:color="auto" w:fill="EAF1DD" w:themeFill="accent3" w:themeFillTint="33"/>
          </w:tcPr>
          <w:p w14:paraId="67A4E0F6" w14:textId="77777777" w:rsidR="00021573" w:rsidRDefault="00021573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021573" w14:paraId="68BC92D7" w14:textId="77777777">
        <w:tc>
          <w:tcPr>
            <w:tcW w:w="3856" w:type="pct"/>
            <w:shd w:val="clear" w:color="auto" w:fill="auto"/>
          </w:tcPr>
          <w:p w14:paraId="1A69782A" w14:textId="77777777" w:rsidR="00021573" w:rsidRDefault="004554AD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Proposal on a European ‘Climate Law’ enshrining the 2050 climate neutrality objective </w:t>
            </w:r>
          </w:p>
        </w:tc>
        <w:tc>
          <w:tcPr>
            <w:tcW w:w="1144" w:type="pct"/>
            <w:shd w:val="clear" w:color="auto" w:fill="auto"/>
          </w:tcPr>
          <w:p w14:paraId="5B33AE8F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March 2020</w:t>
            </w:r>
          </w:p>
        </w:tc>
      </w:tr>
      <w:tr w:rsidR="00021573" w14:paraId="68638985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BB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Comprehensive plan to increase the EU 2030 climate  target to at least 50% and towards 55% in a responsible way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ADC1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Summer 2020</w:t>
            </w:r>
          </w:p>
        </w:tc>
      </w:tr>
      <w:tr w:rsidR="00021573" w14:paraId="78285C5F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AD4D" w14:textId="77777777" w:rsidR="00021573" w:rsidRDefault="004554AD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Proposals for revisions of relevant legislative measures to deliver on the increased climate ambition, following the review of Emissions Trading System Directive; Effort Sharing Regulation; Land use, land use change and forestry Regulation; Energy Efficiency Directive; Renewable Energy Directive; CO</w:t>
            </w:r>
            <w:r>
              <w:rPr>
                <w:noProof/>
                <w:szCs w:val="24"/>
                <w:vertAlign w:val="subscript"/>
              </w:rPr>
              <w:t xml:space="preserve">2 </w:t>
            </w:r>
            <w:r>
              <w:rPr>
                <w:noProof/>
                <w:szCs w:val="24"/>
              </w:rPr>
              <w:t>emissions performance standards for cars and vans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31B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June 2021</w:t>
            </w:r>
          </w:p>
        </w:tc>
      </w:tr>
      <w:tr w:rsidR="00021573" w14:paraId="55BB9A3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A45F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for a revision of the Energy Taxation Directive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A4A8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June 2021</w:t>
            </w:r>
          </w:p>
        </w:tc>
      </w:tr>
      <w:tr w:rsidR="00021573" w14:paraId="0FF3A82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4FDA" w14:textId="77777777" w:rsidR="00021573" w:rsidRDefault="004554AD">
            <w:pPr>
              <w:pStyle w:val="Text1"/>
              <w:spacing w:after="120"/>
              <w:ind w:left="55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Proposal for a carbon border adjustment mechanism for selected sectors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0FF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4F1A96A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570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New EU Strategy on Adaptation to Climate Change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BF4B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2020/2021</w:t>
            </w:r>
          </w:p>
        </w:tc>
      </w:tr>
      <w:tr w:rsidR="00021573" w14:paraId="21C82B49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119E64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Clean, affordable and secure energy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F63E7E" w14:textId="77777777" w:rsidR="00021573" w:rsidRDefault="00021573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021573" w14:paraId="0BEACF3F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C40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Assessment of the final National Energy and Climate Plans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B6B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June 2020</w:t>
            </w:r>
          </w:p>
        </w:tc>
      </w:tr>
      <w:tr w:rsidR="00021573" w14:paraId="1A1A528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56E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Strategy for smart sector integration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1D3B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527E90B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B732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‘Renovation wave’ initiative for the building sector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006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5FA91B54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7F45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Evaluation and review of the Trans-European Network – Energy Regulation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676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284BE30B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419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Strategy on offshore wind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3D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5BB5477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51F67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Industrial strategy for a clean and circular economy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68E210" w14:textId="77777777" w:rsidR="00021573" w:rsidRDefault="00021573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021573" w14:paraId="24684F0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C3C5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EU Industrial strategy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0D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March 2020</w:t>
            </w:r>
          </w:p>
        </w:tc>
      </w:tr>
      <w:tr w:rsidR="00021573" w14:paraId="1F13504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709F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Circular Economy Action Plan, including a sustainable products initiative and particular focus on resource intense sectors such as textiles, construction, electronics and plastics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5CA1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March 2020</w:t>
            </w:r>
          </w:p>
        </w:tc>
      </w:tr>
      <w:tr w:rsidR="00021573" w14:paraId="1A8A37E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C3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lastRenderedPageBreak/>
              <w:t>Initiatives to stimulate lead markets for climate neutral and circular products in energy intensive industrial sectors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63F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A8DDF5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4B3A" w14:textId="77777777" w:rsidR="00021573" w:rsidRDefault="004554AD">
            <w:pPr>
              <w:pStyle w:val="Text1"/>
              <w:tabs>
                <w:tab w:val="left" w:pos="228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to support zero carbon steel-making processes by 2030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B88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0D54B751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32F" w14:textId="77777777" w:rsidR="00021573" w:rsidRDefault="004554AD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Legislation  on batteries in support of the Strategic Action Plan on Batteries and the circular economy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861C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October 2020</w:t>
            </w:r>
          </w:p>
        </w:tc>
      </w:tr>
      <w:tr w:rsidR="00021573" w14:paraId="47E4EE5C" w14:textId="77777777">
        <w:trPr>
          <w:trHeight w:val="57"/>
        </w:trPr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5B6C" w14:textId="77777777" w:rsidR="00021573" w:rsidRDefault="004554AD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Propose legislative waste reforms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EC2B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08DF9CFB" w14:textId="77777777">
        <w:trPr>
          <w:trHeight w:val="13"/>
        </w:trPr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9916D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Sustainable and smart mobility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0EF526" w14:textId="77777777" w:rsidR="00021573" w:rsidRDefault="00021573">
            <w:pPr>
              <w:pStyle w:val="Text1"/>
              <w:spacing w:after="120"/>
              <w:ind w:left="55"/>
              <w:jc w:val="center"/>
              <w:rPr>
                <w:noProof/>
                <w:szCs w:val="24"/>
              </w:rPr>
            </w:pPr>
          </w:p>
        </w:tc>
      </w:tr>
      <w:tr w:rsidR="00021573" w14:paraId="0DAD98EC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0B80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Strategy for sustainable and smart mobility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D775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51B8B8F0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3B0C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Funding call to support the deployment of public recharging and refuelling points as part of alternative fuel infrastructure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26BB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427FEAE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A355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Assessment of legislative options to boost the production and supply of sustainable alternative fuels for the different transport modes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CD0C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66FEB798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3154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ind w:left="283" w:hanging="283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Revised proposal for a Directive on Combined Transport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E5F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7D68C130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E31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Review of the Alternative Fuels Infrastructure Directive and the Trans European Network – Transport Regulation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DDD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7611F1F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50F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Initiatives to increase and better manage the capacity of railways and inland waterways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D764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2021</w:t>
            </w:r>
          </w:p>
        </w:tc>
      </w:tr>
      <w:tr w:rsidR="00021573" w14:paraId="17ABDB8B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6EDF" w14:textId="77777777" w:rsidR="00021573" w:rsidRDefault="004554A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en-IE"/>
              </w:rPr>
              <w:t xml:space="preserve">Proposal for </w:t>
            </w:r>
            <w:r>
              <w:rPr>
                <w:rFonts w:ascii="Times New Roman" w:eastAsiaTheme="minorEastAsia" w:hAnsi="Times New Roman" w:cs="Times New Roman"/>
                <w:noProof/>
                <w:snapToGrid w:val="0"/>
                <w:sz w:val="24"/>
                <w:szCs w:val="24"/>
                <w:lang w:val="en-IE"/>
              </w:rPr>
              <w:t>more stringent air pollutant emissions standards for combustion-engine vehicles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3382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27629E84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122AC1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Greening the Common Agricultural Policy / ‘Farm to Fork’ Strategy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FEFDFC" w14:textId="77777777" w:rsidR="00021573" w:rsidRDefault="00021573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021573" w14:paraId="21AD14D4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EBFF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Examination of the draft national strategic plans, with reference to the ambitions of the European G</w:t>
            </w:r>
            <w:r>
              <w:rPr>
                <w:bCs/>
                <w:noProof/>
                <w:szCs w:val="24"/>
              </w:rPr>
              <w:t>reen Deal and the Farm to Fork Strategy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5865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2020-2021</w:t>
            </w:r>
          </w:p>
        </w:tc>
      </w:tr>
      <w:tr w:rsidR="00021573" w14:paraId="2EA8DB97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BF58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‘Farm to Fork’ Strategy</w:t>
            </w:r>
          </w:p>
          <w:p w14:paraId="392D3A88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Measures, including legislative, to significantly reduce the use and risk of chemical pesticides, as well as the use of fertilizers and antibiotics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49A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Spring 2020</w:t>
            </w:r>
          </w:p>
          <w:p w14:paraId="72B541C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78189AB5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FCEC2D" w14:textId="77777777" w:rsidR="00021573" w:rsidRDefault="004554A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Preserving and protecting biodiversity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D364A" w14:textId="77777777" w:rsidR="00021573" w:rsidRDefault="00021573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021573" w14:paraId="3C5B6D6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0C2F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EU Biodiversity Strategy for 2030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5FC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March 2020</w:t>
            </w:r>
          </w:p>
        </w:tc>
      </w:tr>
      <w:tr w:rsidR="00021573" w14:paraId="66860FC3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B18E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Measures to address the main drivers of biodiversity loss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3B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2021</w:t>
            </w:r>
          </w:p>
        </w:tc>
      </w:tr>
      <w:tr w:rsidR="00021573" w14:paraId="440C02EB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9317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New EU Forest Strategy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BB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23134758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DC4C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Measures to support deforestation-free value chains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0AC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A1354AB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A4D1E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lastRenderedPageBreak/>
              <w:t>Towards a zero-pollution ambition for a toxic free environment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4BFEB" w14:textId="77777777" w:rsidR="00021573" w:rsidRDefault="00021573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021573" w14:paraId="3F5ACB4A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E3BC" w14:textId="77777777" w:rsidR="00021573" w:rsidRDefault="004554A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Chemicals strategy for sustainability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854E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Summer 2020</w:t>
            </w:r>
          </w:p>
        </w:tc>
      </w:tr>
      <w:tr w:rsidR="00021573" w14:paraId="1513407F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BA70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Zero pollution action plan for water, air and soil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2B6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7AF8DEE4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FF36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rFonts w:eastAsiaTheme="minorEastAsia"/>
                <w:noProof/>
                <w:szCs w:val="24"/>
              </w:rPr>
              <w:t>Revision of measures to address pollution from large industrial installations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8180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2F47BCD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8BD76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Mainstreaming sustainability in all EU policies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D34695" w14:textId="77777777" w:rsidR="00021573" w:rsidRDefault="00021573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021573" w14:paraId="09B2907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31F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for a Just Transition Mechanism, including a Just Transition Fund, and a Sustainable Europe Investment Plan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B09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January 2020</w:t>
            </w:r>
          </w:p>
        </w:tc>
      </w:tr>
      <w:tr w:rsidR="00021573" w14:paraId="30F8474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BF28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Renewed sustainable finance strategy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58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Autumn 2020</w:t>
            </w:r>
          </w:p>
        </w:tc>
      </w:tr>
      <w:tr w:rsidR="00021573" w14:paraId="2C44617A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09FE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Review of the Non-Financial Reporting Directive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CA4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  <w:tr w:rsidR="00021573" w14:paraId="2F76AD33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D40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Initiatives to screen and benchmark green budgeting practices of the Member States and of the EU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787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627B353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3EF0" w14:textId="77777777" w:rsidR="00021573" w:rsidRDefault="004554A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Review of the relevant State aid guidelines, including the environment and energy State aid guidelines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6CFA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2021</w:t>
            </w:r>
          </w:p>
        </w:tc>
      </w:tr>
      <w:tr w:rsidR="00021573" w14:paraId="6A3A156B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3E68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Align all new Commission initiatives in line with the objectives of the Green Deal and promote innovation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120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9721FA8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8E47" w14:textId="77777777" w:rsidR="00021573" w:rsidRDefault="004554A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Stakeholders to identify and remedy incoherent legislation that reduces the effectiveness in delivering the European Green Deal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138F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483CAC9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272E" w14:textId="77777777" w:rsidR="00021573" w:rsidRDefault="004554A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Integration of the Sustainable Development Goals in the European Semester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DD91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From 2020</w:t>
            </w:r>
          </w:p>
        </w:tc>
      </w:tr>
      <w:tr w:rsidR="00021573" w14:paraId="26901AC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B5D713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The EU as a global leader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08D2EA" w14:textId="77777777" w:rsidR="00021573" w:rsidRDefault="00021573">
            <w:pPr>
              <w:pStyle w:val="Text1"/>
              <w:spacing w:after="120"/>
              <w:ind w:left="252"/>
              <w:jc w:val="left"/>
              <w:rPr>
                <w:noProof/>
                <w:szCs w:val="24"/>
              </w:rPr>
            </w:pPr>
          </w:p>
        </w:tc>
      </w:tr>
      <w:tr w:rsidR="00021573" w14:paraId="7F65C546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E783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</w:rPr>
              <w:t>EU to continue</w:t>
            </w:r>
            <w:r>
              <w:rPr>
                <w:noProof/>
                <w:szCs w:val="24"/>
                <w:lang w:val="en-US"/>
              </w:rPr>
              <w:t xml:space="preserve"> to lead the international climate and biodiversity negotiations, further strengthening the international policy framework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4E4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From 2019</w:t>
            </w:r>
          </w:p>
        </w:tc>
      </w:tr>
      <w:tr w:rsidR="00021573" w14:paraId="13759509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09E8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0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Strengthen the EU’s Green Deal Diplomacy in cooperation with Member States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16AD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From 2020</w:t>
            </w:r>
          </w:p>
        </w:tc>
      </w:tr>
      <w:tr w:rsidR="00021573" w14:paraId="649C5214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37DD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 xml:space="preserve">Bilateral efforts to induce partners to act and to ensure comparability of action and policies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D89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  <w:lang w:val="en-US"/>
              </w:rPr>
              <w:t>From 2020</w:t>
            </w:r>
          </w:p>
        </w:tc>
      </w:tr>
      <w:tr w:rsidR="00021573" w14:paraId="6A04DB32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A3B4" w14:textId="77777777" w:rsidR="00021573" w:rsidRDefault="004554AD">
            <w:pPr>
              <w:pStyle w:val="Seznamsodrkami"/>
              <w:numPr>
                <w:ilvl w:val="0"/>
                <w:numId w:val="0"/>
              </w:numPr>
              <w:spacing w:after="120"/>
              <w:rPr>
                <w:noProof/>
                <w:szCs w:val="24"/>
                <w:lang w:val="en-US"/>
              </w:rPr>
            </w:pPr>
            <w:r>
              <w:rPr>
                <w:rFonts w:eastAsia="MS Mincho"/>
                <w:noProof/>
                <w:szCs w:val="24"/>
              </w:rPr>
              <w:t>Green Agenda for the Western Balkans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1372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</w:rPr>
              <w:t>From 2020</w:t>
            </w:r>
          </w:p>
        </w:tc>
      </w:tr>
      <w:tr w:rsidR="00021573" w14:paraId="2CE7E041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5A04C0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Working together – a European Climate Pact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750FB2" w14:textId="77777777" w:rsidR="00021573" w:rsidRDefault="00021573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021573" w14:paraId="4B7F4EC9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E71E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Launch of the European Climate Pact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4B01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March 2020</w:t>
            </w:r>
          </w:p>
        </w:tc>
      </w:tr>
      <w:tr w:rsidR="00021573" w14:paraId="6EE741DD" w14:textId="77777777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64A9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for an 8</w:t>
            </w:r>
            <w:r>
              <w:rPr>
                <w:noProof/>
                <w:szCs w:val="24"/>
                <w:vertAlign w:val="superscript"/>
              </w:rPr>
              <w:t>th</w:t>
            </w:r>
            <w:r>
              <w:rPr>
                <w:noProof/>
                <w:szCs w:val="24"/>
              </w:rPr>
              <w:t xml:space="preserve"> Environmental Action Programme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9F6" w14:textId="77777777" w:rsidR="00021573" w:rsidRDefault="004554A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2020</w:t>
            </w:r>
          </w:p>
        </w:tc>
      </w:tr>
    </w:tbl>
    <w:p w14:paraId="38D6B0C6" w14:textId="77777777" w:rsidR="00021573" w:rsidRPr="00310DB5" w:rsidRDefault="00021573" w:rsidP="00310DB5">
      <w:pPr>
        <w:widowControl w:val="0"/>
        <w:spacing w:after="0" w:line="240" w:lineRule="auto"/>
        <w:rPr>
          <w:rFonts w:ascii="Times New Roman" w:hAnsi="Times New Roman" w:cs="Times New Roman"/>
          <w:noProof/>
          <w:sz w:val="16"/>
          <w:szCs w:val="24"/>
        </w:rPr>
      </w:pPr>
    </w:p>
    <w:sectPr w:rsidR="00021573" w:rsidRPr="00310D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1134" w:left="1417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63A64" w14:textId="77777777" w:rsidR="00F110EA" w:rsidRDefault="00F110EA">
      <w:pPr>
        <w:spacing w:after="0" w:line="240" w:lineRule="auto"/>
      </w:pPr>
      <w:r>
        <w:separator/>
      </w:r>
    </w:p>
  </w:endnote>
  <w:endnote w:type="continuationSeparator" w:id="0">
    <w:p w14:paraId="4BB1B8EE" w14:textId="77777777" w:rsidR="00F110EA" w:rsidRDefault="00F1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A9B27" w14:textId="77777777" w:rsidR="00021573" w:rsidRDefault="000215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4075B" w14:textId="77777777" w:rsidR="00021573" w:rsidRDefault="004554AD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3DE5A" w14:textId="77777777" w:rsidR="00021573" w:rsidRDefault="00021573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FAD0" w14:textId="77777777" w:rsidR="00021573" w:rsidRDefault="0002157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0366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9F3B30" w14:textId="77777777" w:rsidR="00021573" w:rsidRDefault="004554AD">
        <w:pPr>
          <w:pStyle w:val="Zpat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310DB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280A" w14:textId="77777777" w:rsidR="00021573" w:rsidRDefault="00021573">
    <w:pPr>
      <w:pStyle w:val="FooterCover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2A150" w14:textId="77777777" w:rsidR="00F110EA" w:rsidRDefault="00F110EA">
      <w:pPr>
        <w:spacing w:after="0" w:line="240" w:lineRule="auto"/>
      </w:pPr>
      <w:r>
        <w:separator/>
      </w:r>
    </w:p>
  </w:footnote>
  <w:footnote w:type="continuationSeparator" w:id="0">
    <w:p w14:paraId="19C7D191" w14:textId="77777777" w:rsidR="00F110EA" w:rsidRDefault="00F110EA">
      <w:pPr>
        <w:spacing w:after="0" w:line="240" w:lineRule="auto"/>
      </w:pPr>
      <w:r>
        <w:continuationSeparator/>
      </w:r>
    </w:p>
  </w:footnote>
  <w:footnote w:id="1">
    <w:p w14:paraId="2450025C" w14:textId="77777777" w:rsidR="00021573" w:rsidRDefault="004554AD">
      <w:pPr>
        <w:pStyle w:val="Textpoznpodarou"/>
        <w:ind w:left="284" w:hanging="284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The Commission’s work programme for 2020 will provide further clarity on the timing of relevant actions announced for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8A1F" w14:textId="77777777" w:rsidR="00021573" w:rsidRDefault="000215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80BB" w14:textId="77777777" w:rsidR="00021573" w:rsidRDefault="00021573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C6012" w14:textId="77777777" w:rsidR="00021573" w:rsidRDefault="00021573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93A8" w14:textId="77777777" w:rsidR="00021573" w:rsidRDefault="0002157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D058" w14:textId="77777777" w:rsidR="00021573" w:rsidRPr="004554AD" w:rsidRDefault="00021573" w:rsidP="004554AD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A5263" w14:textId="77777777" w:rsidR="00021573" w:rsidRDefault="00021573">
    <w:pPr>
      <w:pStyle w:val="HeaderCover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900F7"/>
    <w:multiLevelType w:val="multilevel"/>
    <w:tmpl w:val="746AA9A8"/>
    <w:name w:val="ListDash4Numbering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  <w:lvl w:ilvl="1">
      <w:start w:val="1"/>
      <w:numFmt w:val="bullet"/>
      <w:pStyle w:val="ListDash4Level2"/>
      <w:lvlText w:val="–"/>
      <w:lvlJc w:val="left"/>
      <w:pPr>
        <w:tabs>
          <w:tab w:val="num" w:pos="1769"/>
        </w:tabs>
        <w:ind w:left="1769" w:hanging="284"/>
      </w:pPr>
      <w:rPr>
        <w:rFonts w:ascii="Times New Roman" w:hAnsi="Times New Roman"/>
      </w:rPr>
    </w:lvl>
    <w:lvl w:ilvl="2">
      <w:start w:val="1"/>
      <w:numFmt w:val="bullet"/>
      <w:pStyle w:val="ListDash4Level3"/>
      <w:lvlText w:val="–"/>
      <w:lvlJc w:val="left"/>
      <w:pPr>
        <w:tabs>
          <w:tab w:val="num" w:pos="2052"/>
        </w:tabs>
        <w:ind w:left="2052" w:hanging="283"/>
      </w:pPr>
      <w:rPr>
        <w:rFonts w:ascii="Times New Roman" w:hAnsi="Times New Roman"/>
      </w:rPr>
    </w:lvl>
    <w:lvl w:ilvl="3">
      <w:start w:val="1"/>
      <w:numFmt w:val="bullet"/>
      <w:pStyle w:val="ListDash4Level4"/>
      <w:lvlText w:val="–"/>
      <w:lvlJc w:val="left"/>
      <w:pPr>
        <w:tabs>
          <w:tab w:val="num" w:pos="2336"/>
        </w:tabs>
        <w:ind w:left="2336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18F4FB3"/>
    <w:multiLevelType w:val="multilevel"/>
    <w:tmpl w:val="974834F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31821268"/>
    <w:multiLevelType w:val="hybridMultilevel"/>
    <w:tmpl w:val="B450DC5C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" w15:restartNumberingAfterBreak="0">
    <w:nsid w:val="3A74450D"/>
    <w:multiLevelType w:val="hybridMultilevel"/>
    <w:tmpl w:val="8CF8A022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982C"/>
    <w:multiLevelType w:val="multilevel"/>
    <w:tmpl w:val="F8F8C3D6"/>
    <w:name w:val="ListBulletNumbering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1A6DD510-FE50-4845-9524-1F20E5426816"/>
    <w:docVar w:name="LW_COVERPAGE_TYPE" w:val="1"/>
    <w:docVar w:name="LW_CROSSREFERENCE" w:val="&lt;UNUSED&gt;"/>
    <w:docVar w:name="LW_DocType" w:val="NORMAL"/>
    <w:docVar w:name="LW_EMISSION" w:val="11.12.2019"/>
    <w:docVar w:name="LW_EMISSION_ISODATE" w:val="2019-12-11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The European Green Deal"/>
    <w:docVar w:name="LW_PART_NBR" w:val="1"/>
    <w:docVar w:name="LW_PART_NBR_TOTAL" w:val="1"/>
    <w:docVar w:name="LW_REF.INST.NEW" w:val="COM"/>
    <w:docVar w:name="LW_REF.INST.NEW_ADOPTED" w:val="final"/>
    <w:docVar w:name="LW_REF.INST.NEW_TEXT" w:val="(2019) 64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UNICATION FROM THE COMMISSION TO THE EUROPEAN PARLIAMENT, THE EUROPEAN COUNCIL, THE COUNCIL, THE EUROPEAN ECONOMIC AND SOCIAL COMMITTEE AND THE COMMITTEE OF THE REGIONS_x000b_"/>
  </w:docVars>
  <w:rsids>
    <w:rsidRoot w:val="00021573"/>
    <w:rsid w:val="00021573"/>
    <w:rsid w:val="0028193D"/>
    <w:rsid w:val="00310DB5"/>
    <w:rsid w:val="004554AD"/>
    <w:rsid w:val="00F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EE04"/>
  <w15:docId w15:val="{A3331F80-CC11-4DBC-84D8-7142C505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r">
    <w:name w:val="Marker"/>
    <w:basedOn w:val="Standardnpsmoodstavce"/>
    <w:rPr>
      <w:color w:val="0000FF"/>
      <w:shd w:val="clear" w:color="auto" w:fill="auto"/>
    </w:rPr>
  </w:style>
  <w:style w:type="paragraph" w:customStyle="1" w:styleId="Pagedecouverture">
    <w:name w:val="Page de couverture"/>
    <w:basedOn w:val="Normln"/>
    <w:next w:val="Normln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FooterCoverPage">
    <w:name w:val="Footer Cover Page"/>
    <w:basedOn w:val="Normln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Standardnpsmoodstavce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ln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Standardnpsmoodstavce"/>
    <w:link w:val="HeaderCoverPage"/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ln"/>
    <w:link w:val="Text1Char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1Char">
    <w:name w:val="Text 1 Char"/>
    <w:link w:val="Text1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BulletLevel2">
    <w:name w:val="List Bullet (Level 2)"/>
    <w:basedOn w:val="Text1"/>
    <w:pPr>
      <w:numPr>
        <w:ilvl w:val="1"/>
        <w:numId w:val="2"/>
      </w:numPr>
    </w:pPr>
    <w:rPr>
      <w:lang w:eastAsia="en-GB"/>
    </w:rPr>
  </w:style>
  <w:style w:type="paragraph" w:customStyle="1" w:styleId="ListBulletLevel3">
    <w:name w:val="List Bullet (Level 3)"/>
    <w:basedOn w:val="Text1"/>
    <w:semiHidden/>
    <w:unhideWhenUsed/>
    <w:pPr>
      <w:numPr>
        <w:ilvl w:val="2"/>
        <w:numId w:val="2"/>
      </w:numPr>
    </w:pPr>
    <w:rPr>
      <w:lang w:eastAsia="en-GB"/>
    </w:rPr>
  </w:style>
  <w:style w:type="paragraph" w:customStyle="1" w:styleId="ListBulletLevel4">
    <w:name w:val="List Bullet (Level 4)"/>
    <w:basedOn w:val="Text1"/>
    <w:semiHidden/>
    <w:unhideWhenUsed/>
    <w:pPr>
      <w:numPr>
        <w:ilvl w:val="3"/>
        <w:numId w:val="2"/>
      </w:numPr>
    </w:pPr>
    <w:rPr>
      <w:lang w:eastAsia="en-GB"/>
    </w:rPr>
  </w:style>
  <w:style w:type="paragraph" w:customStyle="1" w:styleId="HistoryTable">
    <w:name w:val="HistoryTable"/>
    <w:basedOn w:val="Normln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Dash4">
    <w:name w:val="List Dash 4"/>
    <w:basedOn w:val="Normln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2">
    <w:name w:val="List Dash 4 (Level 2)"/>
    <w:basedOn w:val="Normln"/>
    <w:pPr>
      <w:numPr>
        <w:ilvl w:val="1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3">
    <w:name w:val="List Dash 4 (Level 3)"/>
    <w:basedOn w:val="Normln"/>
    <w:semiHidden/>
    <w:unhideWhenUsed/>
    <w:pPr>
      <w:numPr>
        <w:ilvl w:val="2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4">
    <w:name w:val="List Dash 4 (Level 4)"/>
    <w:basedOn w:val="Normln"/>
    <w:semiHidden/>
    <w:unhideWhenUsed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FooterSensitivity">
    <w:name w:val="Footer Sensitivity"/>
    <w:basedOn w:val="Normln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Text1Char"/>
    <w:link w:val="Foot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">
    <w:name w:val="Header Sensitivity"/>
    <w:basedOn w:val="Normln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Text1Char"/>
    <w:link w:val="Head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Right">
    <w:name w:val="Header Sensitivity Right"/>
    <w:basedOn w:val="Normln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Text1Char"/>
    <w:link w:val="HeaderSensitivityRight"/>
    <w:rPr>
      <w:rFonts w:ascii="Times New Roman" w:eastAsia="Times New Roman" w:hAnsi="Times New Roman" w:cs="Times New Roman"/>
      <w:sz w:val="28"/>
      <w:szCs w:val="20"/>
    </w:rPr>
  </w:style>
  <w:style w:type="paragraph" w:customStyle="1" w:styleId="Typedudocument">
    <w:name w:val="Type du document"/>
    <w:basedOn w:val="Normln"/>
    <w:next w:val="Normln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ln"/>
    <w:next w:val="Normln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ln"/>
    <w:next w:val="Normln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ln"/>
    <w:next w:val="Normln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E6E2-DD75-45C7-9E5C-4162625E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VERMAELEN Hilde (SG)</dc:creator>
  <cp:lastModifiedBy>Boris Urbánek</cp:lastModifiedBy>
  <cp:revision>2</cp:revision>
  <cp:lastPrinted>2019-12-06T17:24:00Z</cp:lastPrinted>
  <dcterms:created xsi:type="dcterms:W3CDTF">2021-04-08T11:00:00Z</dcterms:created>
  <dcterms:modified xsi:type="dcterms:W3CDTF">2021-04-08T11:00:00Z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_NewReviewCycle">
    <vt:lpwstr/>
  </property>
  <property fmtid="{D5CDD505-2E9C-101B-9397-08002B2CF9AE}" pid="8" name="Level of sensitivity">
    <vt:lpwstr>Standard treatment</vt:lpwstr>
  </property>
  <property fmtid="{D5CDD505-2E9C-101B-9397-08002B2CF9AE}" pid="9" name="Last edited using">
    <vt:lpwstr>LW 7.0, Build 20190717</vt:lpwstr>
  </property>
  <property fmtid="{D5CDD505-2E9C-101B-9397-08002B2CF9AE}" pid="10" name="Unique annex">
    <vt:lpwstr>1</vt:lpwstr>
  </property>
  <property fmtid="{D5CDD505-2E9C-101B-9397-08002B2CF9AE}" pid="11" name="CPTemplateID">
    <vt:lpwstr>CP-039</vt:lpwstr>
  </property>
</Properties>
</file>